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宋体" w:hAnsi="宋体" w:eastAsia="宋体" w:cs="Times New Roman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</w:rPr>
        <w:t>天津滨海一号物业管理有限公司</w:t>
      </w:r>
    </w:p>
    <w:p>
      <w:pPr>
        <w:jc w:val="center"/>
        <w:rPr>
          <w:rFonts w:ascii="宋体" w:hAnsi="宋体" w:eastAsia="宋体" w:cs="Times New Roman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val="en-US" w:eastAsia="zh-CN"/>
        </w:rPr>
        <w:t>多种经营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</w:rPr>
        <w:t>供应商入围申请相关要求</w:t>
      </w:r>
    </w:p>
    <w:tbl>
      <w:tblPr>
        <w:tblStyle w:val="7"/>
        <w:tblpPr w:leftFromText="180" w:rightFromText="180" w:vertAnchor="text" w:horzAnchor="page" w:tblpX="962" w:tblpY="727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52"/>
        <w:gridCol w:w="1934"/>
        <w:gridCol w:w="4389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供应商类型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161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社区零售团购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水果蔬菜类配送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2.营业执照经营范围包含相应经营类别的内容；营业执照在有效期内。相关资质真实有效。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.所配送食材需符合国家验收标准。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.具备独立的仓储、分拣、粗加工场所，场地经营能力与计划提供服务能力相匹配。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.具备专业配送车辆和配送人员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7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社区零售团购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预包装食品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包含调料、奶制品等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2.营业执照经营范围包含相应经营类别的内容；营业执照在有效期内；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预包装食品配送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供应商应具备与所提供的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食品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配送服务匹配的食品经营许可证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《仅销售预包装食品经营者备案信息采集表》备案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证明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相关资质真实有效。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.所配送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食品、商品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需符合国家验收标准，具有国家标准的合格证明，均在保质期内。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.具备独立的仓储、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经营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场所，场地经营能力与计划提供服务能力相匹配。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.具备专业配送车辆和配送人员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社区零售团购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生活、日用物品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相关资质真实有效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所配送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食品、商品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需符合国家验收标准，具有国家标准的合格证明，均在保质期内。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.具备独立的仓储、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经营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场所，场地经营能力与计划提供服务能力相匹配。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.具备专业配送车辆和配送人员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7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场地占用供应商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自动售货机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3.使用自动售货机销售蔬菜、水果、盒饭等食品，需办理《食品经营许可证》。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如果自动售货机仅销售预包装食品，则无再需要再另行办理《食品经营许可证》，只需向市场监督管理局提交《仅销售预包装食品经营者备案信息采集表》办理备案即可。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4.如果使用自动售货机销售药品的，要办理《药品经营许可证》。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2.自动售货机经营企业应在自动售货机醒目位置上明示经营者名称、地址、联系电话。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自动售货机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经营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企业应当遵守《消费者权益保护法》和《产品质量法》等法律及相关法规规章的规定。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场地占用供应商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新能源汽车   充电桩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相关资质真实有效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1、供应商应为具有独立企业法人资格的公司；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营业执照经营范围包含相应经营类别的内容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13"/>
              <w:spacing w:line="5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2、具备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新能源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汽车充电桩安装运营经验，并能够提供实际案例或业绩。</w:t>
            </w:r>
          </w:p>
          <w:p>
            <w:pPr>
              <w:pStyle w:val="13"/>
              <w:spacing w:line="5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3、充电桩安装及运营符合属地部门管理要求。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场地占用供应商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电动自行车   充电桩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相关资质真实有效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8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1.供应商应为具有独立企业法人资格的公司；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营业执照经营范围包含相应经营类别的内容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13"/>
              <w:spacing w:line="58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2.具备电动自行车充电桩安装运营经验，并能够提供实际案例或业绩。</w:t>
            </w:r>
          </w:p>
          <w:p>
            <w:pPr>
              <w:pStyle w:val="13"/>
              <w:spacing w:line="58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3.充电桩安装及运营符合属地部门管理要求。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到家服务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家政保洁供应商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2.供应商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应建立模式清晰的运营、质量管理和纠纷解决机制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3.供应商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应当遵守《消费者权益保护法》和《产品质量法》等法律及相关法规规章的规定。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到家服务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家电清洗供应商（空调、油烟机、洗衣机、热水器及管道清洗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等）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1.自2018年1月1日起至今相关服务合同或项目不少于2个。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2.供应商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应建立模式清晰的运营、质量管理和纠纷解决机制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3.供应商</w:t>
            </w: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应当遵守《消费者权益保护法》和《产品质量法》等法律及相关法规规章的规定。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到家服务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除甲醛服务</w:t>
            </w:r>
          </w:p>
        </w:tc>
        <w:tc>
          <w:tcPr>
            <w:tcW w:w="1548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.供应商有良好的信誉，经营活动中无违法违纪记录，未被列入：失信被执行人、重大税收违法案件当事人名单、严重违法失信企业名单（黑名单）。以上信息可在“信用中国”和“国家企业信用信息公示系统”中查询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2.营业执照经营范围包含相应经营类别的内容；营业执照在有效期内。</w:t>
            </w:r>
          </w:p>
        </w:tc>
        <w:tc>
          <w:tcPr>
            <w:tcW w:w="1611" w:type="pct"/>
            <w:vAlign w:val="center"/>
          </w:tcPr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1.自2018年1月1日起至今相关服务合同不少于2个。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2.检测结果符合国家标准，需提供相关检验报告。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pStyle w:val="13"/>
              <w:spacing w:line="500" w:lineRule="exact"/>
              <w:ind w:firstLine="0" w:firstLineChars="0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注：符合要求的供应商请按照“天津滨海一号物业管理有限公司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-US" w:eastAsia="zh-CN"/>
        </w:rPr>
        <w:t>多种经营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供应商入库流程”附件要求提供相应资料，由我方审核。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mJlNTYyOTc2OTJiZDkzN2NkOWQ5NzU1MzQ0NjcifQ=="/>
  </w:docVars>
  <w:rsids>
    <w:rsidRoot w:val="004230AA"/>
    <w:rsid w:val="00010771"/>
    <w:rsid w:val="0003517B"/>
    <w:rsid w:val="00072AC0"/>
    <w:rsid w:val="000E6E89"/>
    <w:rsid w:val="00106FE8"/>
    <w:rsid w:val="00131405"/>
    <w:rsid w:val="001C4578"/>
    <w:rsid w:val="001F3B05"/>
    <w:rsid w:val="00202C14"/>
    <w:rsid w:val="002A0B08"/>
    <w:rsid w:val="003D15F7"/>
    <w:rsid w:val="003E1795"/>
    <w:rsid w:val="003F4319"/>
    <w:rsid w:val="004230AA"/>
    <w:rsid w:val="0045419B"/>
    <w:rsid w:val="00490D45"/>
    <w:rsid w:val="004D3751"/>
    <w:rsid w:val="00510CA8"/>
    <w:rsid w:val="0052621C"/>
    <w:rsid w:val="00545735"/>
    <w:rsid w:val="00553AA8"/>
    <w:rsid w:val="005915BA"/>
    <w:rsid w:val="00594F83"/>
    <w:rsid w:val="005A48A8"/>
    <w:rsid w:val="00624D6B"/>
    <w:rsid w:val="006A3A4E"/>
    <w:rsid w:val="00703B5C"/>
    <w:rsid w:val="00762578"/>
    <w:rsid w:val="0077749C"/>
    <w:rsid w:val="008254E3"/>
    <w:rsid w:val="00836FC3"/>
    <w:rsid w:val="008E0612"/>
    <w:rsid w:val="00901700"/>
    <w:rsid w:val="00901A27"/>
    <w:rsid w:val="009460E4"/>
    <w:rsid w:val="009C20F7"/>
    <w:rsid w:val="009F294D"/>
    <w:rsid w:val="00A825F3"/>
    <w:rsid w:val="00AA342C"/>
    <w:rsid w:val="00AE06D8"/>
    <w:rsid w:val="00AE6A40"/>
    <w:rsid w:val="00B03680"/>
    <w:rsid w:val="00B206A2"/>
    <w:rsid w:val="00B935C8"/>
    <w:rsid w:val="00BC2BD2"/>
    <w:rsid w:val="00BD6F5D"/>
    <w:rsid w:val="00CC5C20"/>
    <w:rsid w:val="00CF5119"/>
    <w:rsid w:val="00CF65B9"/>
    <w:rsid w:val="00E5462A"/>
    <w:rsid w:val="00E55C8D"/>
    <w:rsid w:val="00F05F2C"/>
    <w:rsid w:val="00F272D8"/>
    <w:rsid w:val="00F428B7"/>
    <w:rsid w:val="00F6765A"/>
    <w:rsid w:val="00F97F95"/>
    <w:rsid w:val="00FA73A4"/>
    <w:rsid w:val="027D695B"/>
    <w:rsid w:val="02EB4148"/>
    <w:rsid w:val="03116B0A"/>
    <w:rsid w:val="034D2E2E"/>
    <w:rsid w:val="049525BD"/>
    <w:rsid w:val="05681A7F"/>
    <w:rsid w:val="075A50E0"/>
    <w:rsid w:val="07711C06"/>
    <w:rsid w:val="078F488B"/>
    <w:rsid w:val="07AF6C3B"/>
    <w:rsid w:val="087E2AB3"/>
    <w:rsid w:val="0AA11507"/>
    <w:rsid w:val="0B2F1CAB"/>
    <w:rsid w:val="0BF91683"/>
    <w:rsid w:val="0C413980"/>
    <w:rsid w:val="0DA55EF1"/>
    <w:rsid w:val="0F114F36"/>
    <w:rsid w:val="0F481EBF"/>
    <w:rsid w:val="0FDB69B3"/>
    <w:rsid w:val="101D790A"/>
    <w:rsid w:val="10EC5C5A"/>
    <w:rsid w:val="11274EE5"/>
    <w:rsid w:val="11C93BB7"/>
    <w:rsid w:val="11E300A0"/>
    <w:rsid w:val="1314597D"/>
    <w:rsid w:val="13A67409"/>
    <w:rsid w:val="15484762"/>
    <w:rsid w:val="1552621E"/>
    <w:rsid w:val="15E74C42"/>
    <w:rsid w:val="166F4FCA"/>
    <w:rsid w:val="16907088"/>
    <w:rsid w:val="16AE750E"/>
    <w:rsid w:val="18000039"/>
    <w:rsid w:val="184A63BA"/>
    <w:rsid w:val="188B7B07"/>
    <w:rsid w:val="19C73298"/>
    <w:rsid w:val="1A1171C9"/>
    <w:rsid w:val="1AC80D6B"/>
    <w:rsid w:val="1C56042C"/>
    <w:rsid w:val="1CA70C88"/>
    <w:rsid w:val="1CCA06C3"/>
    <w:rsid w:val="1E805C34"/>
    <w:rsid w:val="208918CC"/>
    <w:rsid w:val="20A765E9"/>
    <w:rsid w:val="20CA600A"/>
    <w:rsid w:val="217E75CA"/>
    <w:rsid w:val="21A414C1"/>
    <w:rsid w:val="227C2351"/>
    <w:rsid w:val="22C45ACD"/>
    <w:rsid w:val="22ED61CC"/>
    <w:rsid w:val="24197F44"/>
    <w:rsid w:val="245F54E6"/>
    <w:rsid w:val="247D13C7"/>
    <w:rsid w:val="25246E33"/>
    <w:rsid w:val="25665B84"/>
    <w:rsid w:val="257C6ECC"/>
    <w:rsid w:val="25DA13D8"/>
    <w:rsid w:val="26BD4CEE"/>
    <w:rsid w:val="27C95E47"/>
    <w:rsid w:val="29B13146"/>
    <w:rsid w:val="2BA156C4"/>
    <w:rsid w:val="2C0E3BCB"/>
    <w:rsid w:val="2D271A60"/>
    <w:rsid w:val="2D4542D1"/>
    <w:rsid w:val="2E57744D"/>
    <w:rsid w:val="2E8408BE"/>
    <w:rsid w:val="2FA818F0"/>
    <w:rsid w:val="2FD1265B"/>
    <w:rsid w:val="2FE73919"/>
    <w:rsid w:val="317C04DD"/>
    <w:rsid w:val="31D12A70"/>
    <w:rsid w:val="326A6587"/>
    <w:rsid w:val="3338774D"/>
    <w:rsid w:val="3382569C"/>
    <w:rsid w:val="34E75E30"/>
    <w:rsid w:val="35EB5C31"/>
    <w:rsid w:val="3611285B"/>
    <w:rsid w:val="36237179"/>
    <w:rsid w:val="363C6833"/>
    <w:rsid w:val="367E325A"/>
    <w:rsid w:val="37B502A5"/>
    <w:rsid w:val="384B70EA"/>
    <w:rsid w:val="395A1104"/>
    <w:rsid w:val="396C7089"/>
    <w:rsid w:val="3A3E64CC"/>
    <w:rsid w:val="3A9248CD"/>
    <w:rsid w:val="3ADE5E1E"/>
    <w:rsid w:val="3B871F58"/>
    <w:rsid w:val="3BB81B96"/>
    <w:rsid w:val="3BBA2E14"/>
    <w:rsid w:val="3C057F59"/>
    <w:rsid w:val="3C3C08F0"/>
    <w:rsid w:val="3C441EDA"/>
    <w:rsid w:val="3D042860"/>
    <w:rsid w:val="3DE8396E"/>
    <w:rsid w:val="3E8E3824"/>
    <w:rsid w:val="3FD057A4"/>
    <w:rsid w:val="40264F69"/>
    <w:rsid w:val="40362AFC"/>
    <w:rsid w:val="42E9130B"/>
    <w:rsid w:val="434B2807"/>
    <w:rsid w:val="436619E9"/>
    <w:rsid w:val="43EF2D90"/>
    <w:rsid w:val="45544D21"/>
    <w:rsid w:val="458B0897"/>
    <w:rsid w:val="46E7096A"/>
    <w:rsid w:val="477B4D9F"/>
    <w:rsid w:val="4895368A"/>
    <w:rsid w:val="48C534F7"/>
    <w:rsid w:val="48ED0217"/>
    <w:rsid w:val="4913307D"/>
    <w:rsid w:val="492B486B"/>
    <w:rsid w:val="4A4B7DF5"/>
    <w:rsid w:val="4AFC2377"/>
    <w:rsid w:val="4BB4300E"/>
    <w:rsid w:val="4C696A0B"/>
    <w:rsid w:val="4CAF453D"/>
    <w:rsid w:val="4CC426BA"/>
    <w:rsid w:val="4D63487B"/>
    <w:rsid w:val="4D694DFD"/>
    <w:rsid w:val="4D7B77FA"/>
    <w:rsid w:val="4F0771E0"/>
    <w:rsid w:val="4F147B4F"/>
    <w:rsid w:val="4F921BF1"/>
    <w:rsid w:val="502217DE"/>
    <w:rsid w:val="51AA10DD"/>
    <w:rsid w:val="522400A9"/>
    <w:rsid w:val="53CC6FCA"/>
    <w:rsid w:val="53F35005"/>
    <w:rsid w:val="55154E5D"/>
    <w:rsid w:val="551B76D4"/>
    <w:rsid w:val="581F53EA"/>
    <w:rsid w:val="58DA7713"/>
    <w:rsid w:val="591C14F9"/>
    <w:rsid w:val="5AAF6F59"/>
    <w:rsid w:val="5B1C2201"/>
    <w:rsid w:val="5D0C5A78"/>
    <w:rsid w:val="5D494E68"/>
    <w:rsid w:val="5D8F6D1E"/>
    <w:rsid w:val="5FA44247"/>
    <w:rsid w:val="60145CDB"/>
    <w:rsid w:val="6109503A"/>
    <w:rsid w:val="61157896"/>
    <w:rsid w:val="6131191E"/>
    <w:rsid w:val="61F730E4"/>
    <w:rsid w:val="645E569D"/>
    <w:rsid w:val="649C61C5"/>
    <w:rsid w:val="665D1CCC"/>
    <w:rsid w:val="669B751F"/>
    <w:rsid w:val="67CD1150"/>
    <w:rsid w:val="680B78E9"/>
    <w:rsid w:val="683B583E"/>
    <w:rsid w:val="68752FB5"/>
    <w:rsid w:val="6877482B"/>
    <w:rsid w:val="689A2A1B"/>
    <w:rsid w:val="69BE0128"/>
    <w:rsid w:val="6B305E75"/>
    <w:rsid w:val="6BB025F7"/>
    <w:rsid w:val="6BDF6F27"/>
    <w:rsid w:val="6C030483"/>
    <w:rsid w:val="6D1A6151"/>
    <w:rsid w:val="6DB778BD"/>
    <w:rsid w:val="6EDA0016"/>
    <w:rsid w:val="6EED7D49"/>
    <w:rsid w:val="6EFA2182"/>
    <w:rsid w:val="70463263"/>
    <w:rsid w:val="70BD374B"/>
    <w:rsid w:val="71105F71"/>
    <w:rsid w:val="71CC3EC3"/>
    <w:rsid w:val="729D55E2"/>
    <w:rsid w:val="73195535"/>
    <w:rsid w:val="74663C6D"/>
    <w:rsid w:val="75787C70"/>
    <w:rsid w:val="75C125E7"/>
    <w:rsid w:val="76073203"/>
    <w:rsid w:val="77071260"/>
    <w:rsid w:val="77515050"/>
    <w:rsid w:val="78236589"/>
    <w:rsid w:val="782A7918"/>
    <w:rsid w:val="7884123D"/>
    <w:rsid w:val="7950014D"/>
    <w:rsid w:val="79B43692"/>
    <w:rsid w:val="7A9137EB"/>
    <w:rsid w:val="7BBC1F88"/>
    <w:rsid w:val="7BD05638"/>
    <w:rsid w:val="7CC7777F"/>
    <w:rsid w:val="7E0C5088"/>
    <w:rsid w:val="7F6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customStyle="1" w:styleId="11">
    <w:name w:val="页眉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2114</Words>
  <Characters>2151</Characters>
  <Lines>17</Lines>
  <Paragraphs>4</Paragraphs>
  <TotalTime>51</TotalTime>
  <ScaleCrop>false</ScaleCrop>
  <LinksUpToDate>false</LinksUpToDate>
  <CharactersWithSpaces>2151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wen ma</dc:creator>
  <cp:lastModifiedBy>张娜</cp:lastModifiedBy>
  <cp:lastPrinted>2024-03-20T02:29:31Z</cp:lastPrinted>
  <dcterms:modified xsi:type="dcterms:W3CDTF">2024-03-20T02:38:37Z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69CF3D921D3046CF8F52CA2C6F83546D_13</vt:lpwstr>
  </property>
</Properties>
</file>