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简标宋" w:eastAsia="微软简标宋"/>
          <w:sz w:val="44"/>
          <w:szCs w:val="32"/>
        </w:rPr>
      </w:pPr>
      <w:r>
        <w:rPr>
          <w:rFonts w:hint="eastAsia" w:ascii="微软简标宋" w:eastAsia="微软简标宋"/>
          <w:sz w:val="44"/>
          <w:szCs w:val="32"/>
          <w:lang w:val="en-US" w:eastAsia="zh-CN"/>
        </w:rPr>
        <w:t>资产评估服务合作框架</w:t>
      </w:r>
      <w:r>
        <w:rPr>
          <w:rFonts w:hint="eastAsia" w:ascii="微软简标宋" w:eastAsia="微软简标宋"/>
          <w:sz w:val="44"/>
          <w:szCs w:val="32"/>
        </w:rPr>
        <w:t>协议</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甲方：天津滨海新区建设投资集团有限公司</w:t>
      </w:r>
    </w:p>
    <w:p>
      <w:pPr>
        <w:rPr>
          <w:rFonts w:ascii="仿宋_GB2312" w:eastAsia="仿宋_GB2312"/>
          <w:sz w:val="32"/>
          <w:szCs w:val="32"/>
        </w:rPr>
      </w:pPr>
      <w:r>
        <w:rPr>
          <w:rFonts w:hint="eastAsia" w:ascii="仿宋_GB2312" w:eastAsia="仿宋_GB2312"/>
          <w:sz w:val="32"/>
          <w:szCs w:val="32"/>
        </w:rPr>
        <w:t>乙方：</w:t>
      </w:r>
      <w:r>
        <w:rPr>
          <w:rFonts w:ascii="仿宋_GB2312" w:eastAsia="仿宋_GB2312"/>
          <w:sz w:val="32"/>
          <w:szCs w:val="32"/>
        </w:rPr>
        <w:t xml:space="preserve"> </w:t>
      </w:r>
    </w:p>
    <w:p>
      <w:pPr>
        <w:rPr>
          <w:rFonts w:ascii="仿宋_GB2312" w:eastAsia="仿宋_GB2312"/>
          <w:sz w:val="32"/>
          <w:szCs w:val="32"/>
        </w:rPr>
      </w:pP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按照</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行政事业单位、国有企业、上市公司选聘资产评估机构管理办法</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财资</w:t>
      </w:r>
      <w:r>
        <w:rPr>
          <w:rFonts w:hint="eastAsia" w:ascii="仿宋_GB2312" w:hAnsi="微软雅黑" w:eastAsia="仿宋_GB2312"/>
          <w:color w:val="000000" w:themeColor="text1"/>
          <w:sz w:val="32"/>
          <w:szCs w:val="32"/>
          <w14:textFill>
            <w14:solidFill>
              <w14:schemeClr w14:val="tx1"/>
            </w14:solidFill>
          </w14:textFill>
        </w:rPr>
        <w:t>〔202</w:t>
      </w:r>
      <w:r>
        <w:rPr>
          <w:rFonts w:hint="eastAsia" w:ascii="仿宋_GB2312" w:hAnsi="微软雅黑" w:eastAsia="仿宋_GB2312"/>
          <w:color w:val="000000" w:themeColor="text1"/>
          <w:sz w:val="32"/>
          <w:szCs w:val="32"/>
          <w:lang w:val="en-US" w:eastAsia="zh-CN"/>
          <w14:textFill>
            <w14:solidFill>
              <w14:schemeClr w14:val="tx1"/>
            </w14:solidFill>
          </w14:textFill>
        </w:rPr>
        <w:t>5</w:t>
      </w:r>
      <w:r>
        <w:rPr>
          <w:rFonts w:hint="eastAsia" w:ascii="仿宋_GB2312" w:hAnsi="微软雅黑" w:eastAsia="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137</w:t>
      </w:r>
      <w:r>
        <w:rPr>
          <w:rFonts w:hint="eastAsia" w:ascii="仿宋_GB2312" w:hAnsi="微软雅黑" w:eastAsia="仿宋_GB2312"/>
          <w:color w:val="000000" w:themeColor="text1"/>
          <w:sz w:val="32"/>
          <w:szCs w:val="32"/>
          <w14:textFill>
            <w14:solidFill>
              <w14:schemeClr w14:val="tx1"/>
            </w14:solidFill>
          </w14:textFill>
        </w:rPr>
        <w:t>号</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天津市国资委关于规范监管企业评估机构选聘及评价管理有关事项的通知</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津国资产权</w:t>
      </w:r>
      <w:bookmarkStart w:id="0" w:name="OLE_LINK1"/>
      <w:r>
        <w:rPr>
          <w:rFonts w:hint="eastAsia" w:ascii="仿宋_GB2312" w:hAnsi="微软雅黑" w:eastAsia="仿宋_GB2312"/>
          <w:color w:val="000000" w:themeColor="text1"/>
          <w:sz w:val="32"/>
          <w:szCs w:val="32"/>
          <w14:textFill>
            <w14:solidFill>
              <w14:schemeClr w14:val="tx1"/>
            </w14:solidFill>
          </w14:textFill>
        </w:rPr>
        <w:t>〔202</w:t>
      </w:r>
      <w:r>
        <w:rPr>
          <w:rFonts w:hint="eastAsia" w:ascii="仿宋_GB2312" w:hAnsi="微软雅黑" w:eastAsia="仿宋_GB2312"/>
          <w:color w:val="000000" w:themeColor="text1"/>
          <w:sz w:val="32"/>
          <w:szCs w:val="32"/>
          <w:lang w:val="en-US" w:eastAsia="zh-CN"/>
          <w14:textFill>
            <w14:solidFill>
              <w14:schemeClr w14:val="tx1"/>
            </w14:solidFill>
          </w14:textFill>
        </w:rPr>
        <w:t>4</w:t>
      </w:r>
      <w:r>
        <w:rPr>
          <w:rFonts w:hint="eastAsia" w:ascii="仿宋_GB2312" w:hAnsi="微软雅黑" w:eastAsia="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sz w:val="32"/>
          <w:szCs w:val="32"/>
          <w:lang w:val="en-US" w:eastAsia="zh-CN"/>
          <w14:textFill>
            <w14:solidFill>
              <w14:schemeClr w14:val="tx1"/>
            </w14:solidFill>
          </w14:textFill>
        </w:rPr>
        <w:t>1</w:t>
      </w:r>
      <w:r>
        <w:rPr>
          <w:rFonts w:hint="eastAsia" w:ascii="仿宋_GB2312" w:hAnsi="微软雅黑" w:eastAsia="仿宋_GB2312"/>
          <w:color w:val="000000" w:themeColor="text1"/>
          <w:sz w:val="32"/>
          <w:szCs w:val="32"/>
          <w14:textFill>
            <w14:solidFill>
              <w14:schemeClr w14:val="tx1"/>
            </w14:solidFill>
          </w14:textFill>
        </w:rPr>
        <w:t>5号</w:t>
      </w:r>
      <w:bookmarkEnd w:id="0"/>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《区</w:t>
      </w:r>
      <w:bookmarkStart w:id="1" w:name="_GoBack"/>
      <w:bookmarkEnd w:id="1"/>
      <w:r>
        <w:rPr>
          <w:rFonts w:hint="eastAsia" w:ascii="仿宋_GB2312" w:hAnsi="微软雅黑" w:eastAsia="仿宋_GB2312"/>
          <w:color w:val="000000" w:themeColor="text1"/>
          <w:sz w:val="32"/>
          <w:szCs w:val="32"/>
          <w14:textFill>
            <w14:solidFill>
              <w14:schemeClr w14:val="tx1"/>
            </w14:solidFill>
          </w14:textFill>
        </w:rPr>
        <w:t>国资委关于规范各所属国有企业选聘评估机构工作的指导意见》（</w:t>
      </w:r>
      <w:r>
        <w:rPr>
          <w:rFonts w:hint="eastAsia" w:ascii="仿宋_GB2312" w:eastAsia="仿宋_GB2312" w:cs="仿宋_GB2312"/>
          <w:kern w:val="0"/>
          <w:sz w:val="32"/>
          <w:szCs w:val="32"/>
        </w:rPr>
        <w:t>津滨国资发〔</w:t>
      </w:r>
      <w:r>
        <w:rPr>
          <w:rFonts w:ascii="仿宋_GB2312" w:eastAsia="仿宋_GB2312" w:cs="仿宋_GB2312"/>
          <w:kern w:val="0"/>
          <w:sz w:val="32"/>
          <w:szCs w:val="32"/>
        </w:rPr>
        <w:t>2021</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45 </w:t>
      </w:r>
      <w:r>
        <w:rPr>
          <w:rFonts w:hint="eastAsia" w:ascii="仿宋_GB2312" w:eastAsia="仿宋_GB2312" w:cs="仿宋_GB2312"/>
          <w:kern w:val="0"/>
          <w:sz w:val="32"/>
          <w:szCs w:val="32"/>
        </w:rPr>
        <w:t>号</w:t>
      </w:r>
      <w:r>
        <w:rPr>
          <w:rFonts w:hint="eastAsia" w:ascii="仿宋_GB2312" w:hAnsi="微软雅黑" w:eastAsia="仿宋_GB2312"/>
          <w:color w:val="000000" w:themeColor="text1"/>
          <w:sz w:val="32"/>
          <w:szCs w:val="32"/>
          <w14:textFill>
            <w14:solidFill>
              <w14:schemeClr w14:val="tx1"/>
            </w14:solidFill>
          </w14:textFill>
        </w:rPr>
        <w:t>），双方就乙方加入甲方资产评估机构备选库，提供资产评估有关服务事项达成一致，签订本协议。</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一、双方权利及义务</w:t>
      </w:r>
    </w:p>
    <w:p>
      <w:pPr>
        <w:ind w:firstLine="643" w:firstLineChars="200"/>
        <w:rPr>
          <w:rFonts w:ascii="仿宋_GB2312" w:hAnsi="微软雅黑" w:eastAsia="仿宋_GB2312"/>
          <w:b/>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（一）甲方的权利和义务：</w:t>
      </w:r>
    </w:p>
    <w:p>
      <w:pPr>
        <w:ind w:firstLine="640" w:firstLineChars="200"/>
        <w:rPr>
          <w:rFonts w:ascii="仿宋_GB2312" w:hAnsi="微软雅黑" w:eastAsia="仿宋_GB2312"/>
          <w:bCs/>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如甲方委托乙方开展资产评估业务，甲方应如实提供相关资料，并按约定支付相关费用。</w:t>
      </w:r>
    </w:p>
    <w:p>
      <w:pPr>
        <w:ind w:firstLine="643" w:firstLineChars="200"/>
        <w:rPr>
          <w:rFonts w:ascii="仿宋_GB2312" w:hAnsi="微软雅黑" w:eastAsia="仿宋_GB2312"/>
          <w:b/>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（二）乙方的权利和义务：</w:t>
      </w:r>
    </w:p>
    <w:p>
      <w:pPr>
        <w:ind w:firstLine="640" w:firstLineChars="200"/>
        <w:rPr>
          <w:rFonts w:ascii="仿宋_GB2312" w:hAnsi="微软雅黑" w:eastAsia="仿宋_GB2312"/>
          <w:bCs/>
          <w:color w:val="000000" w:themeColor="text1"/>
          <w:sz w:val="32"/>
          <w:szCs w:val="32"/>
          <w14:textFill>
            <w14:solidFill>
              <w14:schemeClr w14:val="tx1"/>
            </w14:solidFill>
          </w14:textFill>
        </w:rPr>
      </w:pPr>
      <w:r>
        <w:rPr>
          <w:rFonts w:hint="eastAsia" w:ascii="仿宋_GB2312" w:hAnsi="微软雅黑" w:eastAsia="仿宋_GB2312"/>
          <w:bCs/>
          <w:color w:val="000000" w:themeColor="text1"/>
          <w:sz w:val="32"/>
          <w:szCs w:val="32"/>
          <w14:textFill>
            <w14:solidFill>
              <w14:schemeClr w14:val="tx1"/>
            </w14:solidFill>
          </w14:textFill>
        </w:rPr>
        <w:t>1.乙方自愿加入甲方资产评估机构库，与甲方签署本协议，承诺对甲方所委托评估的事项，在遵循独立、客观、公正的基础上，审慎进行评估，合法维护甲方权益，不得为乙方或者任何第三方的利益而损害甲方的合法权益。</w:t>
      </w:r>
    </w:p>
    <w:p>
      <w:pPr>
        <w:ind w:firstLine="640" w:firstLineChars="200"/>
        <w:rPr>
          <w:rFonts w:ascii="仿宋_GB2312" w:hAnsi="微软雅黑" w:eastAsia="仿宋_GB2312"/>
          <w:bCs/>
          <w:color w:val="000000" w:themeColor="text1"/>
          <w:sz w:val="32"/>
          <w:szCs w:val="32"/>
          <w14:textFill>
            <w14:solidFill>
              <w14:schemeClr w14:val="tx1"/>
            </w14:solidFill>
          </w14:textFill>
        </w:rPr>
      </w:pPr>
      <w:r>
        <w:rPr>
          <w:rFonts w:hint="eastAsia" w:ascii="仿宋_GB2312" w:hAnsi="微软雅黑" w:eastAsia="仿宋_GB2312"/>
          <w:bCs/>
          <w:color w:val="000000" w:themeColor="text1"/>
          <w:sz w:val="32"/>
          <w:szCs w:val="32"/>
          <w14:textFill>
            <w14:solidFill>
              <w14:schemeClr w14:val="tx1"/>
            </w14:solidFill>
          </w14:textFill>
        </w:rPr>
        <w:t>2.乙方应当熟知并遵守国家有关法律、法规、规章及企业国有资产评估的政策规定，保证严格履行法定职责，承诺近三年无违法、违规的执业记录。</w:t>
      </w:r>
    </w:p>
    <w:p>
      <w:pPr>
        <w:ind w:firstLine="640" w:firstLineChars="200"/>
        <w:rPr>
          <w:rFonts w:ascii="仿宋_GB2312" w:hAnsi="微软雅黑" w:eastAsia="仿宋_GB2312"/>
          <w:bCs/>
          <w:color w:val="000000" w:themeColor="text1"/>
          <w:sz w:val="32"/>
          <w:szCs w:val="32"/>
          <w14:textFill>
            <w14:solidFill>
              <w14:schemeClr w14:val="tx1"/>
            </w14:solidFill>
          </w14:textFill>
        </w:rPr>
      </w:pPr>
      <w:r>
        <w:rPr>
          <w:rFonts w:hint="eastAsia" w:ascii="仿宋_GB2312" w:hAnsi="微软雅黑" w:eastAsia="仿宋_GB2312"/>
          <w:bCs/>
          <w:color w:val="000000" w:themeColor="text1"/>
          <w:sz w:val="32"/>
          <w:szCs w:val="32"/>
          <w14:textFill>
            <w14:solidFill>
              <w14:schemeClr w14:val="tx1"/>
            </w14:solidFill>
          </w14:textFill>
        </w:rPr>
        <w:t>3.乙方应当掌握甲方所在行业的经济行为特点和相关的市场信息，且具有与甲方评估需求相适应的资质条件、专业人员和专业特长。</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Cs/>
          <w:color w:val="000000" w:themeColor="text1"/>
          <w:sz w:val="32"/>
          <w:szCs w:val="32"/>
          <w14:textFill>
            <w14:solidFill>
              <w14:schemeClr w14:val="tx1"/>
            </w14:solidFill>
          </w14:textFill>
        </w:rPr>
        <w:t>4.乙方应当熟悉甲方及其所在行业相关的法规、政策。</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二、违约责任</w:t>
      </w:r>
    </w:p>
    <w:p>
      <w:pPr>
        <w:ind w:firstLine="636"/>
        <w:rPr>
          <w:rFonts w:ascii="仿宋_GB2312" w:eastAsia="仿宋_GB2312"/>
          <w:sz w:val="32"/>
          <w:szCs w:val="32"/>
        </w:rPr>
      </w:pPr>
      <w:r>
        <w:rPr>
          <w:rFonts w:hint="eastAsia" w:ascii="仿宋_GB2312" w:eastAsia="仿宋_GB2312"/>
          <w:sz w:val="32"/>
          <w:szCs w:val="32"/>
        </w:rPr>
        <w:t>（一）如乙方出现下列情形之一的，应当自下列情形发生之日起5个工作日内主动书面告知甲方，并制定整改措施在3个月完成整改：</w:t>
      </w:r>
    </w:p>
    <w:p>
      <w:pPr>
        <w:ind w:firstLine="640" w:firstLineChars="200"/>
        <w:rPr>
          <w:rFonts w:ascii="仿宋_GB2312" w:eastAsia="仿宋_GB2312"/>
          <w:sz w:val="32"/>
          <w:szCs w:val="32"/>
        </w:rPr>
      </w:pPr>
      <w:r>
        <w:rPr>
          <w:rFonts w:hint="eastAsia" w:ascii="仿宋_GB2312" w:eastAsia="仿宋_GB2312"/>
          <w:sz w:val="32"/>
          <w:szCs w:val="32"/>
        </w:rPr>
        <w:t>1.以恶性压价、支付回扣、虚假宣传或者贬损、诋毁其他评估机构等不正当手段招揽业务的；</w:t>
      </w:r>
    </w:p>
    <w:p>
      <w:pPr>
        <w:ind w:firstLine="640" w:firstLineChars="200"/>
        <w:rPr>
          <w:rFonts w:ascii="仿宋_GB2312" w:eastAsia="仿宋_GB2312"/>
          <w:sz w:val="32"/>
          <w:szCs w:val="32"/>
        </w:rPr>
      </w:pPr>
      <w:r>
        <w:rPr>
          <w:rFonts w:hint="eastAsia" w:ascii="仿宋_GB2312" w:eastAsia="仿宋_GB2312"/>
          <w:sz w:val="32"/>
          <w:szCs w:val="32"/>
        </w:rPr>
        <w:t>2.未能按照业务约定书要求派出足够数量、相应职业能力的资产评估师执业的；</w:t>
      </w:r>
    </w:p>
    <w:p>
      <w:pPr>
        <w:ind w:firstLine="640" w:firstLineChars="200"/>
        <w:rPr>
          <w:rFonts w:ascii="仿宋_GB2312" w:eastAsia="仿宋_GB2312"/>
          <w:sz w:val="32"/>
          <w:szCs w:val="32"/>
        </w:rPr>
      </w:pPr>
      <w:r>
        <w:rPr>
          <w:rFonts w:hint="eastAsia" w:ascii="仿宋_GB2312" w:eastAsia="仿宋_GB2312"/>
          <w:sz w:val="32"/>
          <w:szCs w:val="32"/>
        </w:rPr>
        <w:t>3.分别接受利益冲突双方的委托，对同一评估对象进行评估的；</w:t>
      </w:r>
    </w:p>
    <w:p>
      <w:pPr>
        <w:ind w:firstLine="640" w:firstLineChars="200"/>
        <w:rPr>
          <w:rFonts w:ascii="仿宋_GB2312" w:eastAsia="仿宋_GB2312"/>
          <w:sz w:val="32"/>
          <w:szCs w:val="32"/>
        </w:rPr>
      </w:pPr>
      <w:r>
        <w:rPr>
          <w:rFonts w:hint="eastAsia" w:ascii="仿宋_GB2312" w:eastAsia="仿宋_GB2312"/>
          <w:sz w:val="32"/>
          <w:szCs w:val="32"/>
        </w:rPr>
        <w:t>4.资产评估项目接受</w:t>
      </w:r>
      <w:r>
        <w:rPr>
          <w:rFonts w:hint="eastAsia" w:ascii="仿宋_GB2312" w:eastAsia="仿宋_GB2312"/>
          <w:sz w:val="32"/>
          <w:szCs w:val="32"/>
          <w:lang w:val="en-US" w:eastAsia="zh-CN"/>
        </w:rPr>
        <w:t>相关政府部门</w:t>
      </w:r>
      <w:r>
        <w:rPr>
          <w:rFonts w:hint="eastAsia" w:ascii="仿宋_GB2312" w:eastAsia="仿宋_GB2312"/>
          <w:sz w:val="32"/>
          <w:szCs w:val="32"/>
        </w:rPr>
        <w:t>检查时，不配合相关工作的；</w:t>
      </w:r>
    </w:p>
    <w:p>
      <w:pPr>
        <w:ind w:firstLine="640" w:firstLineChars="200"/>
        <w:rPr>
          <w:rFonts w:ascii="仿宋_GB2312" w:eastAsia="仿宋_GB2312"/>
          <w:sz w:val="32"/>
          <w:szCs w:val="32"/>
        </w:rPr>
      </w:pPr>
      <w:r>
        <w:rPr>
          <w:rFonts w:hint="eastAsia" w:ascii="仿宋_GB2312" w:eastAsia="仿宋_GB2312"/>
          <w:sz w:val="32"/>
          <w:szCs w:val="32"/>
        </w:rPr>
        <w:t>5.受理与自身</w:t>
      </w:r>
      <w:r>
        <w:rPr>
          <w:rFonts w:hint="eastAsia" w:ascii="仿宋_GB2312" w:eastAsia="仿宋_GB2312"/>
          <w:sz w:val="32"/>
          <w:szCs w:val="32"/>
          <w:lang w:val="en-US" w:eastAsia="zh-CN"/>
        </w:rPr>
        <w:t>有</w:t>
      </w:r>
      <w:r>
        <w:rPr>
          <w:rFonts w:hint="eastAsia" w:ascii="仿宋_GB2312" w:eastAsia="仿宋_GB2312"/>
          <w:sz w:val="32"/>
          <w:szCs w:val="32"/>
        </w:rPr>
        <w:t>利害关系业务的；</w:t>
      </w:r>
    </w:p>
    <w:p>
      <w:pPr>
        <w:ind w:firstLine="640" w:firstLineChars="200"/>
        <w:rPr>
          <w:rFonts w:ascii="仿宋_GB2312" w:eastAsia="仿宋_GB2312"/>
          <w:sz w:val="32"/>
          <w:szCs w:val="32"/>
        </w:rPr>
      </w:pPr>
      <w:r>
        <w:rPr>
          <w:rFonts w:hint="eastAsia" w:ascii="仿宋_GB2312" w:eastAsia="仿宋_GB2312"/>
          <w:sz w:val="32"/>
          <w:szCs w:val="32"/>
        </w:rPr>
        <w:t>6.受到行业协会警告、限期整改惩戒的。</w:t>
      </w:r>
    </w:p>
    <w:p>
      <w:pPr>
        <w:ind w:firstLine="640" w:firstLineChars="200"/>
        <w:rPr>
          <w:rFonts w:ascii="仿宋_GB2312" w:eastAsia="仿宋_GB2312"/>
          <w:sz w:val="32"/>
          <w:szCs w:val="32"/>
        </w:rPr>
      </w:pPr>
      <w:r>
        <w:rPr>
          <w:rFonts w:hint="eastAsia" w:ascii="仿宋_GB2312" w:eastAsia="仿宋_GB2312"/>
          <w:sz w:val="32"/>
          <w:szCs w:val="32"/>
        </w:rPr>
        <w:t>如乙方整改不符合甲方要求或未按本款约定时间及时通知甲方的，甲方有权解除本协议，将乙方移除甲方资产评估机构备选库，并将该事项报告相关部门。</w:t>
      </w:r>
    </w:p>
    <w:p>
      <w:pPr>
        <w:ind w:firstLine="640" w:firstLineChars="200"/>
        <w:rPr>
          <w:rFonts w:ascii="仿宋_GB2312" w:eastAsia="仿宋_GB2312"/>
          <w:sz w:val="32"/>
          <w:szCs w:val="32"/>
        </w:rPr>
      </w:pPr>
      <w:r>
        <w:rPr>
          <w:rFonts w:hint="eastAsia" w:ascii="仿宋_GB2312" w:eastAsia="仿宋_GB2312"/>
          <w:sz w:val="32"/>
          <w:szCs w:val="32"/>
        </w:rPr>
        <w:t>（二）如乙方出现下列情形之一的，应当自下列情形发生之日起5个工作日内主动书面告知甲方。乙方出现下列情形之一的，甲方有权解除本协议</w:t>
      </w:r>
      <w:r>
        <w:rPr>
          <w:rFonts w:hint="eastAsia" w:ascii="仿宋_GB2312" w:eastAsia="仿宋_GB2312"/>
          <w:sz w:val="32"/>
          <w:szCs w:val="32"/>
          <w:lang w:eastAsia="zh-CN"/>
        </w:rPr>
        <w:t>，</w:t>
      </w:r>
      <w:r>
        <w:rPr>
          <w:rFonts w:hint="eastAsia" w:ascii="仿宋_GB2312" w:eastAsia="仿宋_GB2312"/>
          <w:sz w:val="32"/>
          <w:szCs w:val="32"/>
        </w:rPr>
        <w:t>将乙方移除甲方资产评估机构备选库：</w:t>
      </w:r>
    </w:p>
    <w:p>
      <w:pPr>
        <w:ind w:firstLine="640" w:firstLineChars="200"/>
        <w:rPr>
          <w:rFonts w:ascii="仿宋_GB2312" w:eastAsia="仿宋_GB2312"/>
          <w:sz w:val="32"/>
          <w:szCs w:val="32"/>
        </w:rPr>
      </w:pPr>
      <w:r>
        <w:rPr>
          <w:rFonts w:hint="eastAsia" w:ascii="仿宋_GB2312" w:eastAsia="仿宋_GB2312"/>
          <w:sz w:val="32"/>
          <w:szCs w:val="32"/>
        </w:rPr>
        <w:t>1.履行评估程序严重不到位的；</w:t>
      </w:r>
    </w:p>
    <w:p>
      <w:pPr>
        <w:ind w:firstLine="640" w:firstLineChars="200"/>
        <w:rPr>
          <w:rFonts w:ascii="仿宋_GB2312" w:eastAsia="仿宋_GB2312"/>
          <w:sz w:val="32"/>
          <w:szCs w:val="32"/>
        </w:rPr>
      </w:pPr>
      <w:r>
        <w:rPr>
          <w:rFonts w:hint="eastAsia" w:ascii="仿宋_GB2312" w:eastAsia="仿宋_GB2312"/>
          <w:sz w:val="32"/>
          <w:szCs w:val="32"/>
        </w:rPr>
        <w:t>2.出具虚假评估报告或者有重大遗漏评估报告的；</w:t>
      </w:r>
    </w:p>
    <w:p>
      <w:pPr>
        <w:ind w:firstLine="640" w:firstLineChars="200"/>
        <w:rPr>
          <w:rFonts w:ascii="仿宋_GB2312" w:eastAsia="仿宋_GB2312"/>
          <w:sz w:val="32"/>
          <w:szCs w:val="32"/>
        </w:rPr>
      </w:pPr>
      <w:r>
        <w:rPr>
          <w:rFonts w:hint="eastAsia" w:ascii="仿宋_GB2312" w:eastAsia="仿宋_GB2312"/>
          <w:sz w:val="32"/>
          <w:szCs w:val="32"/>
        </w:rPr>
        <w:t>3.利用开展业务之便，谋取不正当利益的；</w:t>
      </w:r>
    </w:p>
    <w:p>
      <w:pPr>
        <w:ind w:firstLine="640" w:firstLineChars="200"/>
        <w:rPr>
          <w:rFonts w:ascii="仿宋_GB2312" w:eastAsia="仿宋_GB2312"/>
          <w:sz w:val="32"/>
          <w:szCs w:val="32"/>
        </w:rPr>
      </w:pPr>
      <w:r>
        <w:rPr>
          <w:rFonts w:hint="eastAsia" w:ascii="仿宋_GB2312" w:eastAsia="仿宋_GB2312"/>
          <w:sz w:val="32"/>
          <w:szCs w:val="32"/>
        </w:rPr>
        <w:t>4.受到行业协会行业内通报批评惩戒的。</w:t>
      </w:r>
    </w:p>
    <w:p>
      <w:pPr>
        <w:ind w:firstLine="640" w:firstLineChars="200"/>
        <w:rPr>
          <w:rFonts w:ascii="仿宋_GB2312" w:eastAsia="仿宋_GB2312"/>
          <w:sz w:val="32"/>
          <w:szCs w:val="32"/>
        </w:rPr>
      </w:pPr>
      <w:r>
        <w:rPr>
          <w:rFonts w:hint="eastAsia" w:ascii="仿宋_GB2312" w:eastAsia="仿宋_GB2312"/>
          <w:sz w:val="32"/>
          <w:szCs w:val="32"/>
          <w:lang w:val="en-US" w:eastAsia="zh-CN"/>
        </w:rPr>
        <w:t>甲方解除本协议后一年内乙方未再出现上述情形的</w:t>
      </w:r>
      <w:r>
        <w:rPr>
          <w:rFonts w:hint="eastAsia" w:ascii="仿宋_GB2312" w:eastAsia="仿宋_GB2312"/>
          <w:sz w:val="32"/>
          <w:szCs w:val="32"/>
        </w:rPr>
        <w:t>，甲方</w:t>
      </w:r>
      <w:r>
        <w:rPr>
          <w:rFonts w:hint="eastAsia" w:ascii="仿宋_GB2312" w:eastAsia="仿宋_GB2312"/>
          <w:sz w:val="32"/>
          <w:szCs w:val="32"/>
          <w:lang w:val="en-US" w:eastAsia="zh-CN"/>
        </w:rPr>
        <w:t>调整资产评估机构备选库时，可</w:t>
      </w:r>
      <w:r>
        <w:rPr>
          <w:rFonts w:hint="eastAsia" w:ascii="仿宋_GB2312" w:eastAsia="仿宋_GB2312"/>
          <w:sz w:val="32"/>
          <w:szCs w:val="32"/>
        </w:rPr>
        <w:t>再次邀请乙方</w:t>
      </w:r>
      <w:r>
        <w:rPr>
          <w:rFonts w:hint="eastAsia" w:ascii="仿宋_GB2312" w:eastAsia="仿宋_GB2312"/>
          <w:sz w:val="32"/>
          <w:szCs w:val="32"/>
          <w:lang w:val="en-US" w:eastAsia="zh-CN"/>
        </w:rPr>
        <w:t>提交入库申请</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（三）如乙方出现下列情形之一的，应当自下列情形发生之日起5个工作日内主动书面告知甲方。乙方出现下列情形之一的，甲方有权解除本协议，将乙方移除甲方资产评估机构备选库：</w:t>
      </w:r>
    </w:p>
    <w:p>
      <w:pPr>
        <w:ind w:firstLine="640" w:firstLineChars="200"/>
        <w:rPr>
          <w:rFonts w:ascii="仿宋_GB2312" w:eastAsia="仿宋_GB2312"/>
          <w:sz w:val="32"/>
          <w:szCs w:val="32"/>
        </w:rPr>
      </w:pPr>
      <w:r>
        <w:rPr>
          <w:rFonts w:hint="eastAsia" w:ascii="仿宋_GB2312" w:eastAsia="仿宋_GB2312"/>
          <w:sz w:val="32"/>
          <w:szCs w:val="32"/>
        </w:rPr>
        <w:t>1.以欺诈、利诱、强迫等不正当手段取得评估业务的；</w:t>
      </w:r>
    </w:p>
    <w:p>
      <w:pPr>
        <w:ind w:firstLine="640" w:firstLineChars="200"/>
        <w:rPr>
          <w:rFonts w:ascii="仿宋_GB2312" w:eastAsia="仿宋_GB2312"/>
          <w:sz w:val="32"/>
          <w:szCs w:val="32"/>
        </w:rPr>
      </w:pPr>
      <w:r>
        <w:rPr>
          <w:rFonts w:hint="eastAsia" w:ascii="仿宋_GB2312" w:eastAsia="仿宋_GB2312"/>
          <w:sz w:val="32"/>
          <w:szCs w:val="32"/>
        </w:rPr>
        <w:t>2.与评估项目相关单位串通作弊，出具虚假或具有误导性评估报告的；</w:t>
      </w:r>
    </w:p>
    <w:p>
      <w:pPr>
        <w:ind w:firstLine="640" w:firstLineChars="200"/>
        <w:rPr>
          <w:rFonts w:ascii="仿宋_GB2312" w:eastAsia="仿宋_GB2312"/>
          <w:sz w:val="32"/>
          <w:szCs w:val="32"/>
        </w:rPr>
      </w:pPr>
      <w:r>
        <w:rPr>
          <w:rFonts w:hint="eastAsia" w:ascii="仿宋_GB2312" w:eastAsia="仿宋_GB2312"/>
          <w:sz w:val="32"/>
          <w:szCs w:val="32"/>
        </w:rPr>
        <w:t>3.经相关部门依法认定，出具的评估结果严重偏离评估标的客观价值的；</w:t>
      </w:r>
    </w:p>
    <w:p>
      <w:pPr>
        <w:ind w:firstLine="640" w:firstLineChars="200"/>
        <w:rPr>
          <w:rFonts w:ascii="仿宋_GB2312" w:eastAsia="仿宋_GB2312"/>
          <w:sz w:val="32"/>
          <w:szCs w:val="32"/>
        </w:rPr>
      </w:pPr>
      <w:r>
        <w:rPr>
          <w:rFonts w:hint="eastAsia" w:ascii="仿宋_GB2312" w:eastAsia="仿宋_GB2312"/>
          <w:sz w:val="32"/>
          <w:szCs w:val="32"/>
        </w:rPr>
        <w:t>4.泄露国家秘密或企业商业秘密的；</w:t>
      </w:r>
    </w:p>
    <w:p>
      <w:pPr>
        <w:ind w:firstLine="640" w:firstLineChars="200"/>
        <w:rPr>
          <w:rFonts w:ascii="仿宋_GB2312" w:eastAsia="仿宋_GB2312"/>
          <w:sz w:val="32"/>
          <w:szCs w:val="32"/>
        </w:rPr>
      </w:pPr>
      <w:r>
        <w:rPr>
          <w:rFonts w:hint="eastAsia" w:ascii="仿宋_GB2312" w:eastAsia="仿宋_GB2312"/>
          <w:sz w:val="32"/>
          <w:szCs w:val="32"/>
        </w:rPr>
        <w:t>5.因违法违规</w:t>
      </w:r>
      <w:r>
        <w:rPr>
          <w:rFonts w:hint="eastAsia" w:ascii="仿宋_GB2312" w:eastAsia="仿宋_GB2312"/>
          <w:sz w:val="32"/>
          <w:szCs w:val="32"/>
          <w:lang w:val="en-US" w:eastAsia="zh-CN"/>
        </w:rPr>
        <w:t>执</w:t>
      </w:r>
      <w:r>
        <w:rPr>
          <w:rFonts w:hint="eastAsia" w:ascii="仿宋_GB2312" w:eastAsia="仿宋_GB2312"/>
          <w:sz w:val="32"/>
          <w:szCs w:val="32"/>
        </w:rPr>
        <w:t>业受到业务主管部门或其他监管部门的处罚，情节严重的；</w:t>
      </w:r>
    </w:p>
    <w:p>
      <w:pPr>
        <w:ind w:firstLine="640" w:firstLineChars="200"/>
        <w:rPr>
          <w:rFonts w:ascii="仿宋_GB2312" w:eastAsia="仿宋_GB2312"/>
          <w:sz w:val="32"/>
          <w:szCs w:val="32"/>
        </w:rPr>
      </w:pPr>
      <w:r>
        <w:rPr>
          <w:rFonts w:hint="eastAsia" w:ascii="仿宋_GB2312" w:eastAsia="仿宋_GB2312"/>
          <w:sz w:val="32"/>
          <w:szCs w:val="32"/>
        </w:rPr>
        <w:t>6.受到行业协会公开谴责惩戒的；</w:t>
      </w:r>
    </w:p>
    <w:p>
      <w:pPr>
        <w:ind w:firstLine="640" w:firstLineChars="200"/>
        <w:rPr>
          <w:rFonts w:ascii="仿宋_GB2312" w:eastAsia="仿宋_GB2312"/>
          <w:sz w:val="32"/>
          <w:szCs w:val="32"/>
        </w:rPr>
      </w:pPr>
      <w:r>
        <w:rPr>
          <w:rFonts w:hint="eastAsia" w:ascii="仿宋_GB2312" w:eastAsia="仿宋_GB2312"/>
          <w:sz w:val="32"/>
          <w:szCs w:val="32"/>
        </w:rPr>
        <w:t>7.因违法违规执业受到相关部门处罚后，未及时告知甲方的；</w:t>
      </w:r>
    </w:p>
    <w:p>
      <w:pPr>
        <w:ind w:firstLine="640" w:firstLineChars="200"/>
        <w:rPr>
          <w:rFonts w:ascii="仿宋_GB2312" w:eastAsia="仿宋_GB2312"/>
          <w:sz w:val="32"/>
          <w:szCs w:val="32"/>
        </w:rPr>
      </w:pPr>
      <w:r>
        <w:rPr>
          <w:rFonts w:hint="eastAsia" w:ascii="仿宋_GB2312" w:eastAsia="仿宋_GB2312"/>
          <w:sz w:val="32"/>
          <w:szCs w:val="32"/>
        </w:rPr>
        <w:t>8.其他造成国有资产流失的情形。</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eastAsia="仿宋_GB2312"/>
          <w:sz w:val="32"/>
          <w:szCs w:val="32"/>
        </w:rPr>
        <w:t>乙方三年内不再出现本款约定的上述情形后，甲方</w:t>
      </w:r>
      <w:r>
        <w:rPr>
          <w:rFonts w:hint="eastAsia" w:ascii="仿宋_GB2312" w:eastAsia="仿宋_GB2312"/>
          <w:sz w:val="32"/>
          <w:szCs w:val="32"/>
          <w:lang w:val="en-US" w:eastAsia="zh-CN"/>
        </w:rPr>
        <w:t>调整资产评估机构备选库时，可</w:t>
      </w:r>
      <w:r>
        <w:rPr>
          <w:rFonts w:hint="eastAsia" w:ascii="仿宋_GB2312" w:eastAsia="仿宋_GB2312"/>
          <w:sz w:val="32"/>
          <w:szCs w:val="32"/>
        </w:rPr>
        <w:t>再次邀请乙方</w:t>
      </w:r>
      <w:r>
        <w:rPr>
          <w:rFonts w:hint="eastAsia" w:ascii="仿宋_GB2312" w:eastAsia="仿宋_GB2312"/>
          <w:sz w:val="32"/>
          <w:szCs w:val="32"/>
          <w:lang w:val="en-US" w:eastAsia="zh-CN"/>
        </w:rPr>
        <w:t>提交入库申请</w:t>
      </w:r>
      <w:r>
        <w:rPr>
          <w:rFonts w:hint="eastAsia" w:ascii="仿宋_GB2312" w:eastAsia="仿宋_GB2312"/>
          <w:sz w:val="32"/>
          <w:szCs w:val="32"/>
        </w:rPr>
        <w:t>。</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w:t>
      </w:r>
      <w:r>
        <w:rPr>
          <w:rFonts w:hint="eastAsia" w:ascii="仿宋_GB2312" w:hAnsi="微软雅黑" w:eastAsia="仿宋_GB2312"/>
          <w:color w:val="000000" w:themeColor="text1"/>
          <w:sz w:val="32"/>
          <w:szCs w:val="32"/>
          <w:lang w:val="en-US" w:eastAsia="zh-CN"/>
          <w14:textFill>
            <w14:solidFill>
              <w14:schemeClr w14:val="tx1"/>
            </w14:solidFill>
          </w14:textFill>
        </w:rPr>
        <w:t>任何一方</w:t>
      </w:r>
      <w:r>
        <w:rPr>
          <w:rFonts w:hint="eastAsia" w:ascii="仿宋_GB2312" w:hAnsi="微软雅黑" w:eastAsia="仿宋_GB2312"/>
          <w:color w:val="000000" w:themeColor="text1"/>
          <w:sz w:val="32"/>
          <w:szCs w:val="32"/>
          <w14:textFill>
            <w14:solidFill>
              <w14:schemeClr w14:val="tx1"/>
            </w14:solidFill>
          </w14:textFill>
        </w:rPr>
        <w:t>违反本协议所约定义务的，</w:t>
      </w:r>
      <w:r>
        <w:rPr>
          <w:rFonts w:hint="eastAsia" w:ascii="仿宋_GB2312" w:hAnsi="微软雅黑" w:eastAsia="仿宋_GB2312"/>
          <w:color w:val="000000" w:themeColor="text1"/>
          <w:sz w:val="32"/>
          <w:szCs w:val="32"/>
          <w:lang w:val="en-US" w:eastAsia="zh-CN"/>
          <w14:textFill>
            <w14:solidFill>
              <w14:schemeClr w14:val="tx1"/>
            </w14:solidFill>
          </w14:textFill>
        </w:rPr>
        <w:t>守约</w:t>
      </w:r>
      <w:r>
        <w:rPr>
          <w:rFonts w:hint="eastAsia" w:ascii="仿宋_GB2312" w:hAnsi="微软雅黑" w:eastAsia="仿宋_GB2312"/>
          <w:color w:val="000000" w:themeColor="text1"/>
          <w:sz w:val="32"/>
          <w:szCs w:val="32"/>
          <w14:textFill>
            <w14:solidFill>
              <w14:schemeClr w14:val="tx1"/>
            </w14:solidFill>
          </w14:textFill>
        </w:rPr>
        <w:t>方均有权选择解除本合同，本合同自解除通知到达（即送达）甲方、乙方之日解除。</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三、通讯方式</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甲方：天津滨海新区建设投资集团有限公司</w:t>
      </w:r>
    </w:p>
    <w:p>
      <w:pPr>
        <w:ind w:left="630" w:leftChars="3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通讯地址：天津市开发区第二大街42号滨海建投大厦180</w:t>
      </w:r>
      <w:r>
        <w:rPr>
          <w:rFonts w:hint="eastAsia" w:ascii="仿宋_GB2312" w:hAnsi="微软雅黑" w:eastAsia="仿宋_GB2312"/>
          <w:color w:val="000000" w:themeColor="text1"/>
          <w:sz w:val="32"/>
          <w:szCs w:val="32"/>
          <w:lang w:val="en-US" w:eastAsia="zh-CN"/>
          <w14:textFill>
            <w14:solidFill>
              <w14:schemeClr w14:val="tx1"/>
            </w14:solidFill>
          </w14:textFill>
        </w:rPr>
        <w:t>6</w:t>
      </w:r>
      <w:r>
        <w:rPr>
          <w:rFonts w:hint="eastAsia" w:ascii="仿宋_GB2312" w:hAnsi="微软雅黑" w:eastAsia="仿宋_GB2312"/>
          <w:color w:val="000000" w:themeColor="text1"/>
          <w:sz w:val="32"/>
          <w:szCs w:val="32"/>
          <w14:textFill>
            <w14:solidFill>
              <w14:schemeClr w14:val="tx1"/>
            </w14:solidFill>
          </w14:textFill>
        </w:rPr>
        <w:t>室</w:t>
      </w:r>
    </w:p>
    <w:p>
      <w:pPr>
        <w:ind w:firstLine="640" w:firstLineChars="200"/>
        <w:rPr>
          <w:rFonts w:hint="default"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联系人：</w:t>
      </w:r>
      <w:r>
        <w:rPr>
          <w:rFonts w:hint="eastAsia" w:ascii="仿宋_GB2312" w:hAnsi="微软雅黑" w:eastAsia="仿宋_GB2312"/>
          <w:color w:val="000000" w:themeColor="text1"/>
          <w:sz w:val="32"/>
          <w:szCs w:val="32"/>
          <w:lang w:val="en-US" w:eastAsia="zh-CN"/>
          <w14:textFill>
            <w14:solidFill>
              <w14:schemeClr w14:val="tx1"/>
            </w14:solidFill>
          </w14:textFill>
        </w:rPr>
        <w:t>李卫星</w:t>
      </w:r>
    </w:p>
    <w:p>
      <w:pPr>
        <w:ind w:firstLine="640" w:firstLineChars="200"/>
        <w:rPr>
          <w:rFonts w:hint="default"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联系电话：022-</w:t>
      </w:r>
      <w:r>
        <w:rPr>
          <w:rFonts w:hint="eastAsia" w:ascii="仿宋_GB2312" w:hAnsi="微软雅黑" w:eastAsia="仿宋_GB2312"/>
          <w:color w:val="000000" w:themeColor="text1"/>
          <w:sz w:val="32"/>
          <w:szCs w:val="32"/>
          <w:lang w:val="en-US" w:eastAsia="zh-CN"/>
          <w14:textFill>
            <w14:solidFill>
              <w14:schemeClr w14:val="tx1"/>
            </w14:solidFill>
          </w14:textFill>
        </w:rPr>
        <w:t>66223605</w:t>
      </w:r>
    </w:p>
    <w:p>
      <w:pPr>
        <w:ind w:firstLine="640" w:firstLineChars="200"/>
        <w:rPr>
          <w:rFonts w:hint="default"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电子邮件：</w:t>
      </w:r>
      <w:r>
        <w:rPr>
          <w:rFonts w:hint="eastAsia" w:ascii="仿宋_GB2312" w:hAnsi="微软雅黑" w:eastAsia="仿宋_GB2312"/>
          <w:color w:val="4D4F53"/>
          <w:sz w:val="32"/>
          <w:szCs w:val="22"/>
          <w:highlight w:val="none"/>
          <w:lang w:val="en-US" w:eastAsia="zh-CN"/>
        </w:rPr>
        <w:t>liwx@bhjt.cn</w:t>
      </w:r>
    </w:p>
    <w:p>
      <w:pPr>
        <w:ind w:firstLine="640" w:firstLineChars="200"/>
        <w:rPr>
          <w:rFonts w:ascii="仿宋_GB2312" w:hAnsi="微软雅黑" w:eastAsia="仿宋_GB2312"/>
          <w:color w:val="000000" w:themeColor="text1"/>
          <w:sz w:val="32"/>
          <w:szCs w:val="32"/>
          <w14:textFill>
            <w14:solidFill>
              <w14:schemeClr w14:val="tx1"/>
            </w14:solidFill>
          </w14:textFill>
        </w:rPr>
      </w:pP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乙方：</w:t>
      </w:r>
      <w:r>
        <w:rPr>
          <w:rFonts w:ascii="仿宋_GB2312" w:hAnsi="微软雅黑" w:eastAsia="仿宋_GB2312"/>
          <w:color w:val="000000" w:themeColor="text1"/>
          <w:sz w:val="32"/>
          <w:szCs w:val="32"/>
          <w14:textFill>
            <w14:solidFill>
              <w14:schemeClr w14:val="tx1"/>
            </w14:solidFill>
          </w14:textFill>
        </w:rPr>
        <w:t xml:space="preserve"> </w:t>
      </w:r>
    </w:p>
    <w:p>
      <w:pPr>
        <w:ind w:left="2238" w:leftChars="304" w:hanging="1600" w:hangingChars="5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通讯地址：</w:t>
      </w:r>
      <w:r>
        <w:rPr>
          <w:rFonts w:ascii="仿宋_GB2312" w:hAnsi="微软雅黑" w:eastAsia="仿宋_GB2312"/>
          <w:color w:val="000000" w:themeColor="text1"/>
          <w:sz w:val="32"/>
          <w:szCs w:val="32"/>
          <w14:textFill>
            <w14:solidFill>
              <w14:schemeClr w14:val="tx1"/>
            </w14:solidFill>
          </w14:textFill>
        </w:rPr>
        <w:t xml:space="preserve"> </w:t>
      </w:r>
    </w:p>
    <w:p>
      <w:pPr>
        <w:ind w:left="2238" w:leftChars="304" w:hanging="1600" w:hangingChars="5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联系人：</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联系电话：</w:t>
      </w:r>
    </w:p>
    <w:p>
      <w:pPr>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电子邮件：</w:t>
      </w:r>
    </w:p>
    <w:p>
      <w:pPr>
        <w:ind w:left="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四、争议解决方式</w:t>
      </w:r>
    </w:p>
    <w:p>
      <w:pPr>
        <w:numPr>
          <w:ilvl w:val="255"/>
          <w:numId w:val="0"/>
        </w:numPr>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 xml:space="preserve">    本协议双方在履行本协议过程中发生任何纠纷，先友好协商，协商不成，任何一方有权向甲方所在地有管辖权的人民法院提起诉讼。</w:t>
      </w:r>
    </w:p>
    <w:p>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ascii="仿宋_GB2312" w:hAnsi="微软雅黑" w:eastAsia="仿宋_GB2312"/>
          <w:color w:val="000000" w:themeColor="text1"/>
          <w:sz w:val="32"/>
          <w:szCs w:val="32"/>
          <w14:textFill>
            <w14:solidFill>
              <w14:schemeClr w14:val="tx1"/>
            </w14:solidFill>
          </w14:textFill>
        </w:rPr>
        <w:t>以上条款如有未尽事宜，依照有关法律、法规执行。法律法规未作规定的，经双方可协商一致另行签订补充协议，补充协议与本协议具有同等法律效力。补充协议与本协议约定不一致的，以补充协议的内容为准。</w:t>
      </w:r>
    </w:p>
    <w:p>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w:t>
      </w:r>
      <w:r>
        <w:rPr>
          <w:rFonts w:hint="eastAsia" w:ascii="仿宋_GB2312" w:hAnsi="微软雅黑" w:eastAsia="仿宋_GB2312"/>
          <w:color w:val="000000" w:themeColor="text1"/>
          <w:sz w:val="32"/>
          <w:szCs w:val="32"/>
          <w14:textFill>
            <w14:solidFill>
              <w14:schemeClr w14:val="tx1"/>
            </w14:solidFill>
          </w14:textFill>
        </w:rPr>
        <w:t>本协议书一式四份，甲方、乙方各执两份，双方盖章或签字后生效。</w:t>
      </w:r>
    </w:p>
    <w:p>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default" w:ascii="仿宋_GB2312" w:hAnsi="微软雅黑" w:eastAsia="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七、</w:t>
      </w:r>
      <w:r>
        <w:rPr>
          <w:rFonts w:hint="eastAsia" w:ascii="仿宋_GB2312" w:hAnsi="微软雅黑" w:eastAsia="仿宋_GB2312"/>
          <w:color w:val="000000" w:themeColor="text1"/>
          <w:sz w:val="32"/>
          <w:szCs w:val="32"/>
          <w:lang w:val="en-US" w:eastAsia="zh-CN"/>
          <w14:textFill>
            <w14:solidFill>
              <w14:schemeClr w14:val="tx1"/>
            </w14:solidFill>
          </w14:textFill>
        </w:rPr>
        <w:t>本协议仅确认乙方入围甲方资产评估机构备选库，不承诺一定有评估业务委托乙方处理。甲方委托乙方开展评估业务的，双方另行书面确认。</w:t>
      </w:r>
    </w:p>
    <w:p>
      <w:pPr>
        <w:ind w:firstLine="420"/>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ind w:firstLine="42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（本页为签字盖章页）</w:t>
      </w: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ind w:firstLine="42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甲方：天津滨海新区建设投资集团有限公司（公章）</w:t>
      </w:r>
    </w:p>
    <w:p>
      <w:pPr>
        <w:ind w:firstLine="420"/>
        <w:rPr>
          <w:rFonts w:ascii="仿宋_GB2312" w:hAnsi="微软雅黑" w:eastAsia="仿宋_GB2312"/>
          <w:color w:val="000000" w:themeColor="text1"/>
          <w:sz w:val="32"/>
          <w:szCs w:val="32"/>
          <w14:textFill>
            <w14:solidFill>
              <w14:schemeClr w14:val="tx1"/>
            </w14:solidFill>
          </w14:textFill>
        </w:rPr>
      </w:pPr>
    </w:p>
    <w:p>
      <w:pPr>
        <w:ind w:firstLine="480" w:firstLineChars="15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法定代表人（签字或盖章）：</w:t>
      </w:r>
    </w:p>
    <w:p>
      <w:pPr>
        <w:ind w:firstLine="420"/>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ind w:firstLine="42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乙方：</w:t>
      </w:r>
      <w:r>
        <w:rPr>
          <w:rFonts w:ascii="仿宋_GB2312" w:hAnsi="微软雅黑" w:eastAsia="仿宋_GB2312"/>
          <w:color w:val="000000" w:themeColor="text1"/>
          <w:sz w:val="32"/>
          <w:szCs w:val="32"/>
          <w14:textFill>
            <w14:solidFill>
              <w14:schemeClr w14:val="tx1"/>
            </w14:solidFill>
          </w14:textFill>
        </w:rPr>
        <w:t xml:space="preserve"> </w:t>
      </w:r>
    </w:p>
    <w:p>
      <w:pPr>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 xml:space="preserve">   </w:t>
      </w:r>
    </w:p>
    <w:p>
      <w:pPr>
        <w:ind w:firstLine="480" w:firstLineChars="15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法定代表人（签字或盖章）：</w:t>
      </w:r>
    </w:p>
    <w:p>
      <w:pPr>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ascii="仿宋_GB2312" w:hAnsi="微软雅黑" w:eastAsia="仿宋_GB2312"/>
          <w:color w:val="000000" w:themeColor="text1"/>
          <w:sz w:val="32"/>
          <w:szCs w:val="32"/>
          <w14:textFill>
            <w14:solidFill>
              <w14:schemeClr w14:val="tx1"/>
            </w14:solidFill>
          </w14:textFill>
        </w:rPr>
      </w:pPr>
    </w:p>
    <w:p>
      <w:pPr>
        <w:rPr>
          <w:rFonts w:ascii="仿宋_GB2312" w:hAnsi="微软雅黑" w:eastAsia="仿宋_GB2312"/>
          <w:color w:val="000000" w:themeColor="text1"/>
          <w:sz w:val="32"/>
          <w:szCs w:val="32"/>
          <w14:textFill>
            <w14:solidFill>
              <w14:schemeClr w14:val="tx1"/>
            </w14:solidFill>
          </w14:textFill>
        </w:rPr>
      </w:pPr>
    </w:p>
    <w:p>
      <w:pPr>
        <w:ind w:firstLine="420"/>
        <w:jc w:val="left"/>
        <w:rPr>
          <w:rFonts w:ascii="仿宋_GB2312" w:hAnsi="微软雅黑" w:eastAsia="仿宋_GB2312"/>
          <w:color w:val="000000" w:themeColor="text1"/>
          <w:sz w:val="32"/>
          <w:szCs w:val="32"/>
          <w14:textFill>
            <w14:solidFill>
              <w14:schemeClr w14:val="tx1"/>
            </w14:solidFill>
          </w14:textFill>
        </w:rPr>
      </w:pPr>
    </w:p>
    <w:p>
      <w:pPr>
        <w:ind w:firstLine="420"/>
        <w:jc w:val="left"/>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协议签订时间：    年     月    日</w:t>
      </w:r>
    </w:p>
    <w:p>
      <w:pPr>
        <w:ind w:firstLine="640" w:firstLineChars="200"/>
        <w:rPr>
          <w:rFonts w:ascii="仿宋_GB2312" w:hAnsi="微软雅黑" w:eastAsia="仿宋_GB2312"/>
          <w:color w:val="000000" w:themeColor="text1"/>
          <w:sz w:val="32"/>
          <w:szCs w:val="32"/>
          <w14:textFill>
            <w14:solidFill>
              <w14:schemeClr w14:val="tx1"/>
            </w14:solidFill>
          </w14:textFill>
        </w:rPr>
      </w:pP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YjM5ZWFkNjAyN2ExNTg0ODMwODcxYjJlMzMzZjEifQ=="/>
  </w:docVars>
  <w:rsids>
    <w:rsidRoot w:val="009709D5"/>
    <w:rsid w:val="00087204"/>
    <w:rsid w:val="001C6169"/>
    <w:rsid w:val="002248B5"/>
    <w:rsid w:val="002376E1"/>
    <w:rsid w:val="002441F8"/>
    <w:rsid w:val="0025045C"/>
    <w:rsid w:val="00267F44"/>
    <w:rsid w:val="002B1D89"/>
    <w:rsid w:val="002B5D32"/>
    <w:rsid w:val="002D1CAF"/>
    <w:rsid w:val="002D2159"/>
    <w:rsid w:val="002D4C1C"/>
    <w:rsid w:val="0037391B"/>
    <w:rsid w:val="00380CF3"/>
    <w:rsid w:val="003A554A"/>
    <w:rsid w:val="00403ED7"/>
    <w:rsid w:val="005238EE"/>
    <w:rsid w:val="00532D89"/>
    <w:rsid w:val="00546CED"/>
    <w:rsid w:val="005611A3"/>
    <w:rsid w:val="005714C5"/>
    <w:rsid w:val="005B1ED5"/>
    <w:rsid w:val="005F1F2E"/>
    <w:rsid w:val="00606CC1"/>
    <w:rsid w:val="006420EB"/>
    <w:rsid w:val="00706932"/>
    <w:rsid w:val="00733486"/>
    <w:rsid w:val="00735E1B"/>
    <w:rsid w:val="00746622"/>
    <w:rsid w:val="007A43EC"/>
    <w:rsid w:val="007E4844"/>
    <w:rsid w:val="00844FD1"/>
    <w:rsid w:val="00935B7F"/>
    <w:rsid w:val="009709D5"/>
    <w:rsid w:val="009A2321"/>
    <w:rsid w:val="00A02895"/>
    <w:rsid w:val="00A432E3"/>
    <w:rsid w:val="00AB3F56"/>
    <w:rsid w:val="00AF37F4"/>
    <w:rsid w:val="00BE47A7"/>
    <w:rsid w:val="00C750B6"/>
    <w:rsid w:val="00CD1EB3"/>
    <w:rsid w:val="00D02503"/>
    <w:rsid w:val="00D45A37"/>
    <w:rsid w:val="00D57AE4"/>
    <w:rsid w:val="00DD0B58"/>
    <w:rsid w:val="00DD1175"/>
    <w:rsid w:val="00E87A70"/>
    <w:rsid w:val="00F0679A"/>
    <w:rsid w:val="00FB01C3"/>
    <w:rsid w:val="0B163D2C"/>
    <w:rsid w:val="0BF33AC7"/>
    <w:rsid w:val="0F8F1696"/>
    <w:rsid w:val="10950A00"/>
    <w:rsid w:val="120B3BF4"/>
    <w:rsid w:val="1327073F"/>
    <w:rsid w:val="136126C7"/>
    <w:rsid w:val="15156D68"/>
    <w:rsid w:val="152743B3"/>
    <w:rsid w:val="166F34BD"/>
    <w:rsid w:val="181A423C"/>
    <w:rsid w:val="18422772"/>
    <w:rsid w:val="19F3070D"/>
    <w:rsid w:val="1AA209D9"/>
    <w:rsid w:val="1B5B04A6"/>
    <w:rsid w:val="1BD9747B"/>
    <w:rsid w:val="1E3307A3"/>
    <w:rsid w:val="1E905CA6"/>
    <w:rsid w:val="1ED7430C"/>
    <w:rsid w:val="20645042"/>
    <w:rsid w:val="20CB472F"/>
    <w:rsid w:val="21166D83"/>
    <w:rsid w:val="23510283"/>
    <w:rsid w:val="26021910"/>
    <w:rsid w:val="26E16E3C"/>
    <w:rsid w:val="27BB2BBC"/>
    <w:rsid w:val="28913391"/>
    <w:rsid w:val="29297C4D"/>
    <w:rsid w:val="2BC445E4"/>
    <w:rsid w:val="2BEE42EC"/>
    <w:rsid w:val="2C7A579B"/>
    <w:rsid w:val="2E0C2BFB"/>
    <w:rsid w:val="2EE56F64"/>
    <w:rsid w:val="30C248B8"/>
    <w:rsid w:val="3111401E"/>
    <w:rsid w:val="31624224"/>
    <w:rsid w:val="317B1B47"/>
    <w:rsid w:val="31F91D1B"/>
    <w:rsid w:val="339D25C9"/>
    <w:rsid w:val="34A0504A"/>
    <w:rsid w:val="35D077E2"/>
    <w:rsid w:val="384E5151"/>
    <w:rsid w:val="3A2D56A7"/>
    <w:rsid w:val="3B4325A1"/>
    <w:rsid w:val="3BAD747D"/>
    <w:rsid w:val="3CF17F11"/>
    <w:rsid w:val="3DAC2424"/>
    <w:rsid w:val="3E537809"/>
    <w:rsid w:val="3E554B94"/>
    <w:rsid w:val="403E2F02"/>
    <w:rsid w:val="42597492"/>
    <w:rsid w:val="434605C1"/>
    <w:rsid w:val="446A7451"/>
    <w:rsid w:val="45F50429"/>
    <w:rsid w:val="46326F24"/>
    <w:rsid w:val="4750351D"/>
    <w:rsid w:val="49321E9B"/>
    <w:rsid w:val="49A40267"/>
    <w:rsid w:val="4A300604"/>
    <w:rsid w:val="4B8C44ED"/>
    <w:rsid w:val="4BB534B0"/>
    <w:rsid w:val="4BC96872"/>
    <w:rsid w:val="4CED1390"/>
    <w:rsid w:val="4EA57989"/>
    <w:rsid w:val="4FBD35FF"/>
    <w:rsid w:val="50A54B87"/>
    <w:rsid w:val="51745A93"/>
    <w:rsid w:val="519009F8"/>
    <w:rsid w:val="56481002"/>
    <w:rsid w:val="59234074"/>
    <w:rsid w:val="599B6AF9"/>
    <w:rsid w:val="5A085C3C"/>
    <w:rsid w:val="5A870EB2"/>
    <w:rsid w:val="5AD02E94"/>
    <w:rsid w:val="5DF96720"/>
    <w:rsid w:val="5E7007ED"/>
    <w:rsid w:val="608B6E49"/>
    <w:rsid w:val="6277567E"/>
    <w:rsid w:val="65116EF0"/>
    <w:rsid w:val="6530366B"/>
    <w:rsid w:val="65704540"/>
    <w:rsid w:val="6754513A"/>
    <w:rsid w:val="67593FB7"/>
    <w:rsid w:val="679B0B9A"/>
    <w:rsid w:val="68B83D63"/>
    <w:rsid w:val="69B641BB"/>
    <w:rsid w:val="69FE4CFA"/>
    <w:rsid w:val="6A9479B9"/>
    <w:rsid w:val="6CE353E4"/>
    <w:rsid w:val="6EF80AB0"/>
    <w:rsid w:val="6F4548C1"/>
    <w:rsid w:val="70A02656"/>
    <w:rsid w:val="7137287E"/>
    <w:rsid w:val="7271370E"/>
    <w:rsid w:val="74182AC7"/>
    <w:rsid w:val="74B34DF7"/>
    <w:rsid w:val="753650BC"/>
    <w:rsid w:val="75727B9C"/>
    <w:rsid w:val="7B6A65DF"/>
    <w:rsid w:val="7B8446E1"/>
    <w:rsid w:val="7D2E1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8"/>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character" w:customStyle="1" w:styleId="10">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12F8B-ECBC-4A85-BCAA-40B79EEE7D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1800</Words>
  <Characters>1856</Characters>
  <Lines>13</Lines>
  <Paragraphs>3</Paragraphs>
  <TotalTime>1</TotalTime>
  <ScaleCrop>false</ScaleCrop>
  <LinksUpToDate>false</LinksUpToDate>
  <CharactersWithSpaces>1882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2021-06-24T08:27:00Z</dcterms:created>
  <dc:creator>宫宇瑶</dc:creator>
  <cp:lastModifiedBy>李卫星</cp:lastModifiedBy>
  <cp:lastPrinted>2021-06-29T07:59:00Z</cp:lastPrinted>
  <dcterms:modified xsi:type="dcterms:W3CDTF">2025-12-03T03:52:59Z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DEEFD4712C144B00B08D4D77F0F437B9_13</vt:lpwstr>
  </property>
  <property fmtid="{D5CDD505-2E9C-101B-9397-08002B2CF9AE}" pid="4" name="KSOTemplateDocerSaveRecord">
    <vt:lpwstr>eyJoZGlkIjoiNzAyOGU5OWMwMGE4OTNhMGNkYjNkNTVjODgyOTE5NjciLCJ1c2VySWQiOiIyMTg3NTg5NzgifQ==</vt:lpwstr>
  </property>
</Properties>
</file>